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AEEE" w14:textId="77777777" w:rsidR="00886D54" w:rsidRPr="00886D54" w:rsidRDefault="00886D54" w:rsidP="00886D54">
      <w:pPr>
        <w:spacing w:line="320" w:lineRule="atLeast"/>
      </w:pPr>
      <w:proofErr w:type="gramStart"/>
      <w:r w:rsidRPr="00886D54">
        <w:rPr>
          <w:b/>
          <w:bCs/>
        </w:rPr>
        <w:t>Key note</w:t>
      </w:r>
      <w:proofErr w:type="gramEnd"/>
      <w:r w:rsidRPr="00886D54">
        <w:rPr>
          <w:b/>
          <w:bCs/>
        </w:rPr>
        <w:t xml:space="preserve"> speaker 1:</w:t>
      </w:r>
      <w:r w:rsidRPr="00886D54">
        <w:t xml:space="preserve"> Dominic Wyse - Professor of Early Childhood and Primary Education at UCL Institute of Education and Founding Director of the Helen Hamlyn Centre for Pedagogy. </w:t>
      </w:r>
    </w:p>
    <w:p w14:paraId="0990A446" w14:textId="77777777" w:rsidR="00886D54" w:rsidRPr="00886D54" w:rsidRDefault="00886D54" w:rsidP="00886D54">
      <w:pPr>
        <w:spacing w:line="320" w:lineRule="atLeast"/>
      </w:pPr>
      <w:r w:rsidRPr="00886D54">
        <w:t> </w:t>
      </w:r>
    </w:p>
    <w:p w14:paraId="0CFAD3AB" w14:textId="77777777" w:rsidR="00886D54" w:rsidRPr="00886D54" w:rsidRDefault="00886D54" w:rsidP="00886D54">
      <w:pPr>
        <w:spacing w:line="320" w:lineRule="atLeast"/>
      </w:pPr>
      <w:r w:rsidRPr="00886D54">
        <w:rPr>
          <w:b/>
          <w:bCs/>
        </w:rPr>
        <w:t>Session Focus:</w:t>
      </w:r>
      <w:r w:rsidRPr="00886D54">
        <w:t xml:space="preserve"> NEPI schools explored how to balance phonics with a love of literature, using high-quality texts to build reading skills, critical thinking, and empathy. Dr. Beverley Prevatt-Goldstein joined us to discuss diversity in literature, emphasizing authentic representation, avoiding stereotypes, and ensuring all voices are reflected and heard in schools. </w:t>
      </w:r>
    </w:p>
    <w:p w14:paraId="0D97107B" w14:textId="77777777" w:rsidR="00886D54" w:rsidRPr="00886D54" w:rsidRDefault="00886D54" w:rsidP="00886D54">
      <w:pPr>
        <w:spacing w:line="320" w:lineRule="atLeast"/>
      </w:pPr>
      <w:r w:rsidRPr="00886D54">
        <w:t> </w:t>
      </w:r>
    </w:p>
    <w:p w14:paraId="775FEB7D" w14:textId="77777777" w:rsidR="00886D54" w:rsidRPr="00886D54" w:rsidRDefault="00886D54" w:rsidP="00886D54">
      <w:pPr>
        <w:spacing w:line="320" w:lineRule="atLeast"/>
      </w:pPr>
      <w:r w:rsidRPr="00886D54">
        <w:rPr>
          <w:b/>
          <w:bCs/>
        </w:rPr>
        <w:t>Text:</w:t>
      </w:r>
      <w:r w:rsidRPr="00886D54">
        <w:t xml:space="preserve"> The Balancing Act: An Evidence-Based Approach to Teaching Phonics, Reading and Writing; Representation in Children's Literature: Reflecting Realities in the classroom Paperback – by Farrah </w:t>
      </w:r>
      <w:proofErr w:type="spellStart"/>
      <w:r w:rsidRPr="00886D54">
        <w:t>Seroukah</w:t>
      </w:r>
      <w:proofErr w:type="spellEnd"/>
      <w:r w:rsidRPr="00886D54">
        <w:t xml:space="preserve"> CLPE </w:t>
      </w:r>
    </w:p>
    <w:p w14:paraId="35DA0C14" w14:textId="77777777" w:rsidR="00886D54" w:rsidRPr="00886D54" w:rsidRDefault="00886D54" w:rsidP="00886D54">
      <w:pPr>
        <w:spacing w:line="320" w:lineRule="atLeast"/>
      </w:pPr>
      <w:r w:rsidRPr="00886D54">
        <w:t> </w:t>
      </w:r>
    </w:p>
    <w:p w14:paraId="090E23E0" w14:textId="77777777" w:rsidR="00886D54" w:rsidRPr="00886D54" w:rsidRDefault="00886D54" w:rsidP="00886D54">
      <w:pPr>
        <w:spacing w:line="320" w:lineRule="atLeast"/>
      </w:pPr>
      <w:proofErr w:type="gramStart"/>
      <w:r w:rsidRPr="00886D54">
        <w:rPr>
          <w:b/>
          <w:bCs/>
        </w:rPr>
        <w:t>Key note</w:t>
      </w:r>
      <w:proofErr w:type="gramEnd"/>
      <w:r w:rsidRPr="00886D54">
        <w:rPr>
          <w:b/>
          <w:bCs/>
        </w:rPr>
        <w:t xml:space="preserve"> speaker 2:</w:t>
      </w:r>
      <w:r w:rsidRPr="00886D54">
        <w:t xml:space="preserve"> Mick Waters - former Director of Curriculum at the QCA (2005–09). Previously a primary teacher, headteacher, and Chief Education Officer in Birmingham and Manchester, he’s renowned for championing meaningful, integrated curriculum design. He now consults globally and is Professor at University of Wolverhampton. </w:t>
      </w:r>
    </w:p>
    <w:p w14:paraId="7E82FC39" w14:textId="77777777" w:rsidR="00886D54" w:rsidRPr="00886D54" w:rsidRDefault="00886D54" w:rsidP="00886D54">
      <w:pPr>
        <w:spacing w:line="320" w:lineRule="atLeast"/>
      </w:pPr>
      <w:r w:rsidRPr="00886D54">
        <w:t> </w:t>
      </w:r>
    </w:p>
    <w:p w14:paraId="02130B3A" w14:textId="77777777" w:rsidR="00886D54" w:rsidRPr="00886D54" w:rsidRDefault="00886D54" w:rsidP="00886D54">
      <w:pPr>
        <w:spacing w:line="320" w:lineRule="atLeast"/>
      </w:pPr>
      <w:r w:rsidRPr="00886D54">
        <w:rPr>
          <w:b/>
          <w:bCs/>
        </w:rPr>
        <w:t xml:space="preserve">Session Focus: </w:t>
      </w:r>
      <w:r w:rsidRPr="00886D54">
        <w:t>Mick and NEPI visitors began with learning walks at Cragside, observing curriculum and student engagement. Miss Jackson, Miss Howells, and Mrs. Hall shared how Rethinking Curriculum and Creativity Collaboratives shaped their curriculum design. Discussions led by Mick explored school leadership and creating meaningful, deep learning experiences that inspire reflection and growth. </w:t>
      </w:r>
    </w:p>
    <w:p w14:paraId="2FA24E91" w14:textId="77777777" w:rsidR="00886D54" w:rsidRPr="00886D54" w:rsidRDefault="00886D54" w:rsidP="00886D54">
      <w:pPr>
        <w:spacing w:line="320" w:lineRule="atLeast"/>
      </w:pPr>
      <w:r w:rsidRPr="00886D54">
        <w:rPr>
          <w:b/>
          <w:bCs/>
        </w:rPr>
        <w:t xml:space="preserve">Text: </w:t>
      </w:r>
      <w:r w:rsidRPr="00886D54">
        <w:t>About Our Schools: Improving on previous best Paperback – 14 Jan. 2022 </w:t>
      </w:r>
    </w:p>
    <w:p w14:paraId="00ACE7C0" w14:textId="77777777" w:rsidR="00886D54" w:rsidRPr="00886D54" w:rsidRDefault="00886D54" w:rsidP="00886D54">
      <w:pPr>
        <w:spacing w:line="320" w:lineRule="atLeast"/>
      </w:pPr>
      <w:r w:rsidRPr="00886D54">
        <w:t>by </w:t>
      </w:r>
      <w:hyperlink r:id="rId5" w:tgtFrame="_blank" w:history="1">
        <w:r w:rsidRPr="00886D54">
          <w:rPr>
            <w:rStyle w:val="Hyperlink"/>
          </w:rPr>
          <w:t>Tim Brighouse</w:t>
        </w:r>
      </w:hyperlink>
      <w:r w:rsidRPr="00886D54">
        <w:t> and </w:t>
      </w:r>
      <w:hyperlink r:id="rId6" w:tgtFrame="_blank" w:history="1">
        <w:r w:rsidRPr="00886D54">
          <w:rPr>
            <w:rStyle w:val="Hyperlink"/>
          </w:rPr>
          <w:t>Mick Waters</w:t>
        </w:r>
      </w:hyperlink>
      <w:r w:rsidRPr="00886D54">
        <w:t>; Back on Track: Fewer things, greater depth by Mary Myatt </w:t>
      </w:r>
    </w:p>
    <w:p w14:paraId="0443576B" w14:textId="77777777" w:rsidR="00886D54" w:rsidRPr="00886D54" w:rsidRDefault="00886D54" w:rsidP="00886D54">
      <w:pPr>
        <w:spacing w:line="320" w:lineRule="atLeast"/>
      </w:pPr>
      <w:r w:rsidRPr="00886D54">
        <w:t> </w:t>
      </w:r>
    </w:p>
    <w:p w14:paraId="267D4CDC" w14:textId="77777777" w:rsidR="00886D54" w:rsidRPr="00886D54" w:rsidRDefault="00886D54" w:rsidP="00886D54">
      <w:pPr>
        <w:spacing w:line="320" w:lineRule="atLeast"/>
      </w:pPr>
      <w:proofErr w:type="gramStart"/>
      <w:r w:rsidRPr="00886D54">
        <w:rPr>
          <w:b/>
          <w:bCs/>
        </w:rPr>
        <w:t>Key note</w:t>
      </w:r>
      <w:proofErr w:type="gramEnd"/>
      <w:r w:rsidRPr="00886D54">
        <w:rPr>
          <w:b/>
          <w:bCs/>
        </w:rPr>
        <w:t xml:space="preserve"> speaker 3:</w:t>
      </w:r>
      <w:r w:rsidRPr="00886D54">
        <w:t xml:space="preserve"> Rachel Higgenson - Rachel Higginson is an experienced educator and founder of the </w:t>
      </w:r>
      <w:r w:rsidRPr="00886D54">
        <w:rPr>
          <w:b/>
          <w:bCs/>
        </w:rPr>
        <w:t>Finding My Voice</w:t>
      </w:r>
      <w:r w:rsidRPr="00886D54">
        <w:t xml:space="preserve"> programme—a whole-school, oracy-driven personal development initiative. With 27 years in education, she designs DfE-approved curricula, speaks as a keynote, and collaborates with Myatt &amp; Co. Her work empowers pupils to physically and metaphorically find their voice.  </w:t>
      </w:r>
    </w:p>
    <w:p w14:paraId="2FFA609C" w14:textId="77777777" w:rsidR="00886D54" w:rsidRPr="00886D54" w:rsidRDefault="00886D54" w:rsidP="00886D54">
      <w:pPr>
        <w:spacing w:line="320" w:lineRule="atLeast"/>
      </w:pPr>
      <w:r w:rsidRPr="00886D54">
        <w:t> </w:t>
      </w:r>
    </w:p>
    <w:p w14:paraId="3358FC34" w14:textId="77777777" w:rsidR="00886D54" w:rsidRPr="00886D54" w:rsidRDefault="00886D54" w:rsidP="00886D54">
      <w:pPr>
        <w:spacing w:line="320" w:lineRule="atLeast"/>
      </w:pPr>
      <w:r w:rsidRPr="00886D54">
        <w:rPr>
          <w:b/>
          <w:bCs/>
        </w:rPr>
        <w:t xml:space="preserve">Session Focus: </w:t>
      </w:r>
      <w:r w:rsidRPr="00886D54">
        <w:t xml:space="preserve">Rachel Higginson’s </w:t>
      </w:r>
      <w:r w:rsidRPr="00886D54">
        <w:rPr>
          <w:b/>
          <w:bCs/>
        </w:rPr>
        <w:t>Finding My Voice</w:t>
      </w:r>
      <w:r w:rsidRPr="00886D54">
        <w:t xml:space="preserve"> program promotes whole-school personal development and oracy. She inspired discussions on storytelling, connection, and learner-centred curriculum design. Cragside Primary shared their oracy journey, with early years and Year 1 teachers demonstrating high-quality interactions and meaningful integration across subjects. NEPI schools exchanged innovative curricular insights. </w:t>
      </w:r>
    </w:p>
    <w:p w14:paraId="77D02992" w14:textId="77777777" w:rsidR="00886D54" w:rsidRPr="00886D54" w:rsidRDefault="00886D54" w:rsidP="00886D54">
      <w:pPr>
        <w:spacing w:line="320" w:lineRule="atLeast"/>
      </w:pPr>
      <w:r w:rsidRPr="00886D54">
        <w:lastRenderedPageBreak/>
        <w:t> </w:t>
      </w:r>
    </w:p>
    <w:p w14:paraId="07D7C3F6" w14:textId="77777777" w:rsidR="00886D54" w:rsidRPr="00886D54" w:rsidRDefault="00886D54" w:rsidP="00886D54">
      <w:pPr>
        <w:spacing w:line="320" w:lineRule="atLeast"/>
      </w:pPr>
      <w:r w:rsidRPr="00886D54">
        <w:rPr>
          <w:b/>
          <w:bCs/>
        </w:rPr>
        <w:t>Text: A Curriculum of Hope: As Rich in Humanity as in Knowledge</w:t>
      </w:r>
      <w:r w:rsidRPr="00886D54">
        <w:t xml:space="preserve"> by Dr. Debra Kidd; </w:t>
      </w:r>
      <w:proofErr w:type="spellStart"/>
      <w:r w:rsidRPr="00886D54">
        <w:t>Simplicitus</w:t>
      </w:r>
      <w:proofErr w:type="spellEnd"/>
      <w:r w:rsidRPr="00886D54">
        <w:t>: The Interconnected Primary Curriculum &amp; Effective Subject Leadership Paperback by Emma Turner </w:t>
      </w:r>
    </w:p>
    <w:p w14:paraId="7B855E40" w14:textId="77777777" w:rsidR="00886D54" w:rsidRPr="00886D54" w:rsidRDefault="00886D54" w:rsidP="00886D54">
      <w:pPr>
        <w:spacing w:line="320" w:lineRule="atLeast"/>
      </w:pPr>
      <w:r w:rsidRPr="00886D54">
        <w:t> </w:t>
      </w:r>
    </w:p>
    <w:p w14:paraId="467DABB2" w14:textId="77777777" w:rsidR="00886D54" w:rsidRPr="00886D54" w:rsidRDefault="00886D54" w:rsidP="00886D54">
      <w:pPr>
        <w:spacing w:line="320" w:lineRule="atLeast"/>
      </w:pPr>
      <w:proofErr w:type="gramStart"/>
      <w:r w:rsidRPr="00886D54">
        <w:rPr>
          <w:b/>
          <w:bCs/>
        </w:rPr>
        <w:t>Key note</w:t>
      </w:r>
      <w:proofErr w:type="gramEnd"/>
      <w:r w:rsidRPr="00886D54">
        <w:rPr>
          <w:b/>
          <w:bCs/>
        </w:rPr>
        <w:t xml:space="preserve"> speaker 4:</w:t>
      </w:r>
      <w:r w:rsidRPr="00886D54">
        <w:t xml:space="preserve"> Nia Richards - Director at Creativity, Culture &amp; Education, leading initiatives like the </w:t>
      </w:r>
      <w:proofErr w:type="gramStart"/>
      <w:r w:rsidRPr="00886D54">
        <w:t>North East</w:t>
      </w:r>
      <w:proofErr w:type="gramEnd"/>
      <w:r w:rsidRPr="00886D54">
        <w:t xml:space="preserve"> Creativity Collaborative. With 13 years in secondary and further education, she founded the social enterprise </w:t>
      </w:r>
      <w:proofErr w:type="spellStart"/>
      <w:r w:rsidRPr="00886D54">
        <w:t>Tybed</w:t>
      </w:r>
      <w:proofErr w:type="spellEnd"/>
      <w:r w:rsidRPr="00886D54">
        <w:t xml:space="preserve"> in 2020, contributed to UNESCO’s Futures of Education, and holds an MA in Practitioner Research, promoting democratic, </w:t>
      </w:r>
      <w:proofErr w:type="spellStart"/>
      <w:r w:rsidRPr="00886D54">
        <w:t>actionfocused</w:t>
      </w:r>
      <w:proofErr w:type="spellEnd"/>
      <w:r w:rsidRPr="00886D54">
        <w:t xml:space="preserve"> learning; The Future of Teaching - Guy Claxton </w:t>
      </w:r>
    </w:p>
    <w:p w14:paraId="5E309B9C" w14:textId="77777777" w:rsidR="00886D54" w:rsidRPr="00886D54" w:rsidRDefault="00886D54" w:rsidP="00886D54">
      <w:pPr>
        <w:spacing w:line="320" w:lineRule="atLeast"/>
      </w:pPr>
      <w:r w:rsidRPr="00886D54">
        <w:t> </w:t>
      </w:r>
    </w:p>
    <w:p w14:paraId="09CEA89C" w14:textId="77777777" w:rsidR="00886D54" w:rsidRPr="00886D54" w:rsidRDefault="00886D54" w:rsidP="00886D54">
      <w:pPr>
        <w:spacing w:line="320" w:lineRule="atLeast"/>
      </w:pPr>
      <w:r w:rsidRPr="00886D54">
        <w:rPr>
          <w:b/>
          <w:bCs/>
        </w:rPr>
        <w:t>Session Focus:</w:t>
      </w:r>
      <w:r w:rsidRPr="00886D54">
        <w:t xml:space="preserve"> Nia Richards explored how school leaders can foster whole-school change by creating conditions where creativity thrives. The session focused on strategies to inspire creative thinking, support staff, and cultivate an environment that encourages innovation and collaboration, ultimately enhancing learning experiences and outcomes across the entire school community. </w:t>
      </w:r>
    </w:p>
    <w:p w14:paraId="58272297" w14:textId="77777777" w:rsidR="00886D54" w:rsidRPr="00886D54" w:rsidRDefault="00886D54" w:rsidP="00886D54">
      <w:pPr>
        <w:spacing w:line="320" w:lineRule="atLeast"/>
      </w:pPr>
      <w:r w:rsidRPr="00886D54">
        <w:t> </w:t>
      </w:r>
    </w:p>
    <w:p w14:paraId="7066E45A" w14:textId="77777777" w:rsidR="00886D54" w:rsidRPr="00886D54" w:rsidRDefault="00886D54" w:rsidP="00886D54">
      <w:pPr>
        <w:spacing w:line="320" w:lineRule="atLeast"/>
      </w:pPr>
      <w:r w:rsidRPr="00886D54">
        <w:rPr>
          <w:b/>
          <w:bCs/>
        </w:rPr>
        <w:t>Texts:</w:t>
      </w:r>
      <w:r w:rsidRPr="00886D54">
        <w:t xml:space="preserve"> Creative Thinking in Schools – A Leadership Playbook by Bill Lucas, Ellen Spencer, Louise Stoll, Di Fisher-Naylor, Nia Richards, Sian James and Katy Milne; Teaching for Creativity by Bill Lucas and Ellen </w:t>
      </w:r>
      <w:proofErr w:type="gramStart"/>
      <w:r w:rsidRPr="00886D54">
        <w:t>Spencer;</w:t>
      </w:r>
      <w:proofErr w:type="gramEnd"/>
      <w:r w:rsidRPr="00886D54">
        <w:t>  </w:t>
      </w:r>
    </w:p>
    <w:p w14:paraId="3653474F" w14:textId="77777777" w:rsidR="00886D54" w:rsidRPr="00886D54" w:rsidRDefault="00886D54" w:rsidP="00886D54">
      <w:pPr>
        <w:spacing w:line="320" w:lineRule="atLeast"/>
      </w:pPr>
      <w:r w:rsidRPr="00886D54">
        <w:t> </w:t>
      </w:r>
    </w:p>
    <w:p w14:paraId="33E369DB" w14:textId="77777777" w:rsidR="00886D54" w:rsidRPr="00886D54" w:rsidRDefault="00886D54" w:rsidP="00886D54">
      <w:pPr>
        <w:spacing w:line="320" w:lineRule="atLeast"/>
      </w:pPr>
      <w:proofErr w:type="gramStart"/>
      <w:r w:rsidRPr="00886D54">
        <w:rPr>
          <w:b/>
          <w:bCs/>
        </w:rPr>
        <w:t>Key note</w:t>
      </w:r>
      <w:proofErr w:type="gramEnd"/>
      <w:r w:rsidRPr="00886D54">
        <w:rPr>
          <w:b/>
          <w:bCs/>
        </w:rPr>
        <w:t xml:space="preserve"> speaker 5:</w:t>
      </w:r>
      <w:r w:rsidRPr="00886D54">
        <w:t xml:space="preserve"> Gary Aubin - specialist SEND consultant and Associate at the Education Endowment Foundation. A former primary/secondary teacher, SENCO, Head of Year and MAT SEND leader, he authored </w:t>
      </w:r>
      <w:r w:rsidRPr="00886D54">
        <w:rPr>
          <w:i/>
          <w:iCs/>
        </w:rPr>
        <w:t>The Lone SENDCO</w:t>
      </w:r>
      <w:r w:rsidRPr="00886D54">
        <w:t xml:space="preserve"> and upcoming </w:t>
      </w:r>
      <w:r w:rsidRPr="00886D54">
        <w:rPr>
          <w:i/>
          <w:iCs/>
        </w:rPr>
        <w:t>Parent’s Guide to SEND</w:t>
      </w:r>
      <w:r w:rsidRPr="00886D54">
        <w:t xml:space="preserve">. He leads national SEND initiatives, advises government, and speaks </w:t>
      </w:r>
      <w:proofErr w:type="gramStart"/>
      <w:r w:rsidRPr="00886D54">
        <w:t>internationally .</w:t>
      </w:r>
      <w:proofErr w:type="gramEnd"/>
      <w:r w:rsidRPr="00886D54">
        <w:t> </w:t>
      </w:r>
    </w:p>
    <w:p w14:paraId="3660CD54" w14:textId="77777777" w:rsidR="00886D54" w:rsidRPr="00886D54" w:rsidRDefault="00886D54" w:rsidP="00886D54">
      <w:pPr>
        <w:spacing w:line="320" w:lineRule="atLeast"/>
      </w:pPr>
      <w:r w:rsidRPr="00886D54">
        <w:t> </w:t>
      </w:r>
    </w:p>
    <w:p w14:paraId="3AB1D008" w14:textId="77777777" w:rsidR="00886D54" w:rsidRPr="00886D54" w:rsidRDefault="00886D54" w:rsidP="00886D54">
      <w:pPr>
        <w:spacing w:line="320" w:lineRule="atLeast"/>
      </w:pPr>
      <w:r w:rsidRPr="00886D54">
        <w:rPr>
          <w:b/>
          <w:bCs/>
        </w:rPr>
        <w:t>Session Focus:</w:t>
      </w:r>
      <w:r w:rsidRPr="00886D54">
        <w:t xml:space="preserve"> Gary Aubin’s session on inclusion focused on practical strategies for supporting diverse learners through collaboration, early identification, and tailored support. He emphasized fostering inclusive school cultures, effective SEND leadership, and navigating policies to improve outcomes, empowering educators to create equitable environments where every student feels valued and supported. </w:t>
      </w:r>
    </w:p>
    <w:p w14:paraId="52868571" w14:textId="77777777" w:rsidR="00886D54" w:rsidRPr="00886D54" w:rsidRDefault="00886D54" w:rsidP="00886D54">
      <w:pPr>
        <w:spacing w:line="320" w:lineRule="atLeast"/>
      </w:pPr>
      <w:r w:rsidRPr="00886D54">
        <w:t> </w:t>
      </w:r>
    </w:p>
    <w:p w14:paraId="0DBA2548" w14:textId="77777777" w:rsidR="00886D54" w:rsidRPr="00886D54" w:rsidRDefault="00886D54" w:rsidP="00886D54">
      <w:pPr>
        <w:spacing w:line="320" w:lineRule="atLeast"/>
      </w:pPr>
      <w:r w:rsidRPr="00886D54">
        <w:rPr>
          <w:b/>
          <w:bCs/>
        </w:rPr>
        <w:t>Text:</w:t>
      </w:r>
      <w:r w:rsidRPr="00886D54">
        <w:t xml:space="preserve"> The Lone SENDCO: Questions and answers for the busy SENDCO by Gary Aubin </w:t>
      </w:r>
    </w:p>
    <w:p w14:paraId="72721A65" w14:textId="77777777" w:rsidR="00DC2684" w:rsidRDefault="00DC2684">
      <w:pPr>
        <w:spacing w:line="320" w:lineRule="atLeast"/>
      </w:pPr>
    </w:p>
    <w:sectPr w:rsidR="00DC2684">
      <w:pgSz w:w="11909" w:h="16834" w:code="9"/>
      <w:pgMar w:top="1901" w:right="1699" w:bottom="1368" w:left="1411" w:header="562" w:footer="1555"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Bold">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123622484">
    <w:abstractNumId w:val="4"/>
  </w:num>
  <w:num w:numId="2" w16cid:durableId="1963459187">
    <w:abstractNumId w:val="0"/>
  </w:num>
  <w:num w:numId="3" w16cid:durableId="25494034">
    <w:abstractNumId w:val="0"/>
  </w:num>
  <w:num w:numId="4" w16cid:durableId="686949041">
    <w:abstractNumId w:val="0"/>
  </w:num>
  <w:num w:numId="5" w16cid:durableId="2114012713">
    <w:abstractNumId w:val="0"/>
  </w:num>
  <w:num w:numId="6" w16cid:durableId="632096705">
    <w:abstractNumId w:val="0"/>
  </w:num>
  <w:num w:numId="7" w16cid:durableId="865942639">
    <w:abstractNumId w:val="0"/>
  </w:num>
  <w:num w:numId="8" w16cid:durableId="968241076">
    <w:abstractNumId w:val="0"/>
  </w:num>
  <w:num w:numId="9" w16cid:durableId="1188062578">
    <w:abstractNumId w:val="0"/>
  </w:num>
  <w:num w:numId="10" w16cid:durableId="1351445315">
    <w:abstractNumId w:val="0"/>
  </w:num>
  <w:num w:numId="11" w16cid:durableId="576984194">
    <w:abstractNumId w:val="0"/>
  </w:num>
  <w:num w:numId="12" w16cid:durableId="1895194980">
    <w:abstractNumId w:val="2"/>
  </w:num>
  <w:num w:numId="13" w16cid:durableId="927618549">
    <w:abstractNumId w:val="3"/>
  </w:num>
  <w:num w:numId="14" w16cid:durableId="141224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886D54"/>
    <w:rsid w:val="00494464"/>
    <w:rsid w:val="00886D54"/>
    <w:rsid w:val="00DC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F6753"/>
  <w15:chartTrackingRefBased/>
  <w15:docId w15:val="{4987B5C0-86CA-4FCA-8C18-57733109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Title">
    <w:name w:val="Title"/>
    <w:basedOn w:val="Normal"/>
    <w:next w:val="Normal"/>
    <w:link w:val="TitleChar"/>
    <w:uiPriority w:val="10"/>
    <w:qFormat/>
    <w:rsid w:val="00886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54"/>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886D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54"/>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86D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6D54"/>
    <w:rPr>
      <w:rFonts w:ascii="Arial" w:hAnsi="Arial"/>
      <w:i/>
      <w:iCs/>
      <w:color w:val="404040" w:themeColor="text1" w:themeTint="BF"/>
      <w:sz w:val="24"/>
      <w:lang w:eastAsia="en-US"/>
    </w:rPr>
  </w:style>
  <w:style w:type="paragraph" w:styleId="ListParagraph">
    <w:name w:val="List Paragraph"/>
    <w:basedOn w:val="Normal"/>
    <w:uiPriority w:val="34"/>
    <w:qFormat/>
    <w:rsid w:val="00886D54"/>
    <w:pPr>
      <w:ind w:left="720"/>
      <w:contextualSpacing/>
    </w:pPr>
  </w:style>
  <w:style w:type="character" w:styleId="IntenseEmphasis">
    <w:name w:val="Intense Emphasis"/>
    <w:basedOn w:val="DefaultParagraphFont"/>
    <w:uiPriority w:val="21"/>
    <w:qFormat/>
    <w:rsid w:val="00886D54"/>
    <w:rPr>
      <w:i/>
      <w:iCs/>
      <w:color w:val="365F91" w:themeColor="accent1" w:themeShade="BF"/>
    </w:rPr>
  </w:style>
  <w:style w:type="paragraph" w:styleId="IntenseQuote">
    <w:name w:val="Intense Quote"/>
    <w:basedOn w:val="Normal"/>
    <w:next w:val="Normal"/>
    <w:link w:val="IntenseQuoteChar"/>
    <w:uiPriority w:val="30"/>
    <w:qFormat/>
    <w:rsid w:val="00886D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6D54"/>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886D54"/>
    <w:rPr>
      <w:b/>
      <w:bCs/>
      <w:smallCaps/>
      <w:color w:val="365F91" w:themeColor="accent1" w:themeShade="BF"/>
      <w:spacing w:val="5"/>
    </w:rPr>
  </w:style>
  <w:style w:type="character" w:styleId="UnresolvedMention">
    <w:name w:val="Unresolved Mention"/>
    <w:basedOn w:val="DefaultParagraphFont"/>
    <w:uiPriority w:val="99"/>
    <w:semiHidden/>
    <w:unhideWhenUsed/>
    <w:rsid w:val="0088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uk/Mick-Waters/e/B0070YHR1E/ref=dp_byline_cont_book_2" TargetMode="External"/><Relationship Id="rId5" Type="http://schemas.openxmlformats.org/officeDocument/2006/relationships/hyperlink" Target="https://www.amazon.co.uk/Tim-Brighouse/e/B09PNTGYMC/ref=dp_byline_cont_book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4002</Characters>
  <Application>Microsoft Office Word</Application>
  <DocSecurity>0</DocSecurity>
  <Lines>88</Lines>
  <Paragraphs>49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Seymour</dc:creator>
  <cp:keywords/>
  <dc:description/>
  <cp:lastModifiedBy>Libby Seymour</cp:lastModifiedBy>
  <cp:revision>1</cp:revision>
  <cp:lastPrinted>1998-09-28T15:30:00Z</cp:lastPrinted>
  <dcterms:created xsi:type="dcterms:W3CDTF">2025-08-26T14:48:00Z</dcterms:created>
  <dcterms:modified xsi:type="dcterms:W3CDTF">2025-08-26T14:49:00Z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66895b4e-2891-4556-9a61-50ffccb75b5f</vt:lpwstr>
  </property>
</Properties>
</file>